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衢州仲裁委员会招聘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条件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</w:p>
    <w:tbl>
      <w:tblPr>
        <w:tblStyle w:val="5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43"/>
        <w:gridCol w:w="1939"/>
        <w:gridCol w:w="1640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96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审理二部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本科：法学、法律专业。（全日制）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研究生：本科或研究生任一阶段为法学、法律专业皆可。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全日制本科及以上学历，取得学历相应学位。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2.具有良好的组织、协调、沟通能力和团队协作精神，能承受较大工作压力;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英语达到大学英语四级水平；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4.同等条件下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eastAsia="zh-CN"/>
              </w:rPr>
              <w:t>有法律职业资格者优先。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F3016"/>
    <w:rsid w:val="23EB1A15"/>
    <w:rsid w:val="BDD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HTML Preformatted"/>
    <w:basedOn w:val="1"/>
    <w:qFormat/>
    <w:uiPriority w:val="0"/>
    <w:rPr>
      <w:rFonts w:ascii="Courier New" w:hAnsi="Courier New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小标宋标题"/>
    <w:basedOn w:val="3"/>
    <w:qFormat/>
    <w:uiPriority w:val="0"/>
    <w:pPr>
      <w:spacing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2025-10-31T08:43:00Z</dcterms:created>
  <dc:creator>金子惜</dc:creator>
  <cp:lastModifiedBy>金子惜</cp:lastModifiedBy>
  <dcterms:modified xsi:type="dcterms:W3CDTF">2025-10-31T08:44:51Z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6BBF32857A97EAA944060469680E0C72</vt:lpwstr>
  </property>
</Properties>
</file>