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第一条   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（三）心率每分钟5O－60次或100－110次；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第二条  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收缩压90mmHg－140mmHg（12.00－18.66Kpa）；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舒张压60mmHg－90mmHg （8.00－12.00Kpa）。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第三条  血液病，不合格。单纯性缺铁性贫血，血红蛋白男性高于90g／L、女性高于80g／L，合格。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第四条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第五条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第六条  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第七条  各种急慢性肝炎，不合格。乙肝病原携带者，经检查排除肝炎的，合格。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第八条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第九条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第十条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第十二条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第十三条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第十四条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第十五条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第十六条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第十七条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第十八条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第十九条  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第二十条  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第二十一条 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024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1013</Words>
  <Characters>1069</Characters>
  <Paragraphs>32</Paragraphs>
  <TotalTime>2</TotalTime>
  <ScaleCrop>false</ScaleCrop>
  <LinksUpToDate>false</LinksUpToDate>
  <CharactersWithSpaces>1218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2024-08-01T03:36:00Z</dcterms:created>
  <dc:creator>DBY-W09</dc:creator>
  <cp:lastModifiedBy>Administrator</cp:lastModifiedBy>
  <dcterms:modified xsi:type="dcterms:W3CDTF">2024-08-13T01:00:02Z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c97f7da7b40247ceb1e5425457e4024a_21</vt:lpwstr>
  </property>
  <property fmtid="{D5CDD505-2E9C-101B-9397-08002B2CF9AE}" pid="3" name="KSOProductBuildVer">
    <vt:lpwstr>2052-11.8.2.10154</vt:lpwstr>
  </property>
</Properties>
</file>